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B3" w:rsidRPr="00085D06" w:rsidRDefault="004A2BB3" w:rsidP="004A2BB3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:rsidR="00652B77" w:rsidRPr="00936810" w:rsidRDefault="00652B77" w:rsidP="004A2BB3">
      <w:pPr>
        <w:jc w:val="center"/>
        <w:rPr>
          <w:rFonts w:ascii="Times New Roman" w:hAnsi="Times New Roman"/>
          <w:bCs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7"/>
        <w:gridCol w:w="1709"/>
        <w:gridCol w:w="1175"/>
        <w:gridCol w:w="2048"/>
        <w:gridCol w:w="1244"/>
      </w:tblGrid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B692E" w:rsidRDefault="004A2BB3" w:rsidP="005643A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програм:</w:t>
            </w:r>
            <w:r w:rsidR="00F46BD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0B692E" w:rsidRPr="00557C48">
              <w:rPr>
                <w:rFonts w:ascii="Times New Roman" w:hAnsi="Times New Roman"/>
                <w:bCs/>
                <w:sz w:val="20"/>
                <w:szCs w:val="20"/>
              </w:rPr>
              <w:t>Напредна</w:t>
            </w:r>
            <w:proofErr w:type="spellEnd"/>
            <w:r w:rsidR="000B692E" w:rsidRPr="00557C4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B692E" w:rsidRPr="00557C48">
              <w:rPr>
                <w:rFonts w:ascii="Times New Roman" w:hAnsi="Times New Roman"/>
                <w:bCs/>
                <w:sz w:val="20"/>
                <w:szCs w:val="20"/>
              </w:rPr>
              <w:t>аналитика</w:t>
            </w:r>
            <w:proofErr w:type="spellEnd"/>
            <w:r w:rsidR="000B692E" w:rsidRPr="00557C4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B692E" w:rsidRPr="00557C48">
              <w:rPr>
                <w:rFonts w:ascii="Times New Roman" w:hAnsi="Times New Roman"/>
                <w:bCs/>
                <w:sz w:val="20"/>
                <w:szCs w:val="20"/>
              </w:rPr>
              <w:t>података</w:t>
            </w:r>
            <w:proofErr w:type="spellEnd"/>
            <w:r w:rsidR="000B692E" w:rsidRPr="00557C48"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="000B692E" w:rsidRPr="00557C48">
              <w:rPr>
                <w:rFonts w:ascii="Times New Roman" w:hAnsi="Times New Roman"/>
                <w:bCs/>
                <w:sz w:val="20"/>
                <w:szCs w:val="20"/>
              </w:rPr>
              <w:t>пословању</w:t>
            </w:r>
            <w:proofErr w:type="spellEnd"/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677B6" w:rsidRDefault="004A2BB3" w:rsidP="000677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proofErr w:type="spellStart"/>
            <w:r w:rsidR="000677B6" w:rsidRPr="000677B6">
              <w:rPr>
                <w:rStyle w:val="tlid-translation"/>
                <w:rFonts w:ascii="Times New Roman" w:hAnsi="Times New Roman"/>
                <w:b/>
                <w:sz w:val="20"/>
                <w:szCs w:val="20"/>
              </w:rPr>
              <w:t>Интернет</w:t>
            </w:r>
            <w:proofErr w:type="spellEnd"/>
            <w:r w:rsidR="000677B6" w:rsidRPr="000677B6">
              <w:rPr>
                <w:rStyle w:val="tlid-translation"/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0677B6" w:rsidRPr="000677B6">
              <w:rPr>
                <w:rStyle w:val="tlid-translation"/>
                <w:rFonts w:ascii="Times New Roman" w:hAnsi="Times New Roman"/>
                <w:b/>
                <w:sz w:val="20"/>
                <w:szCs w:val="20"/>
              </w:rPr>
              <w:t>пословање</w:t>
            </w:r>
            <w:proofErr w:type="spellEnd"/>
            <w:r w:rsidR="000677B6" w:rsidRPr="000677B6">
              <w:rPr>
                <w:rStyle w:val="tlid-translation"/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0677B6" w:rsidRPr="000677B6">
              <w:rPr>
                <w:rStyle w:val="tlid-translation"/>
                <w:rFonts w:ascii="Times New Roman" w:hAnsi="Times New Roman"/>
                <w:b/>
                <w:sz w:val="20"/>
                <w:szCs w:val="20"/>
              </w:rPr>
              <w:t>веб</w:t>
            </w:r>
            <w:proofErr w:type="spellEnd"/>
            <w:r w:rsidR="000677B6" w:rsidRPr="000677B6">
              <w:rPr>
                <w:rStyle w:val="tlid-translation"/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0677B6" w:rsidRPr="000677B6">
              <w:rPr>
                <w:rStyle w:val="tlid-translation"/>
                <w:rFonts w:ascii="Times New Roman" w:hAnsi="Times New Roman"/>
                <w:b/>
                <w:sz w:val="20"/>
                <w:szCs w:val="20"/>
              </w:rPr>
              <w:t>аналитика</w:t>
            </w:r>
            <w:proofErr w:type="spellEnd"/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8669FB" w:rsidRDefault="004A2BB3" w:rsidP="008669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наставници</w:t>
            </w:r>
            <w:proofErr w:type="spellEnd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5643A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933E99" w:rsidRPr="00933E9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Марко Милојковић, Мирослав Миловановић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5643A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076764" w:rsidRPr="00076764">
              <w:rPr>
                <w:rFonts w:ascii="Times New Roman" w:hAnsi="Times New Roman"/>
                <w:bCs/>
                <w:sz w:val="20"/>
                <w:szCs w:val="20"/>
              </w:rPr>
              <w:t>Изборни</w:t>
            </w:r>
            <w:proofErr w:type="spellEnd"/>
            <w:r w:rsidR="00076764" w:rsidRPr="0007676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33E99" w:rsidRPr="0007676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предмет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B8352A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5643A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B553F5" w:rsidRPr="00B553F5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5643A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50786F" w:rsidRPr="0050786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Програмирање за пословне примене 1</w:t>
            </w:r>
            <w:bookmarkStart w:id="0" w:name="_GoBack"/>
            <w:bookmarkEnd w:id="0"/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5A27EC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5A27E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9A6A8E" w:rsidRPr="00B553F5" w:rsidRDefault="005A27EC" w:rsidP="00B553F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>П</w:t>
            </w:r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ословни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успеси</w:t>
            </w:r>
            <w:proofErr w:type="spellEnd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>модерном</w:t>
            </w:r>
            <w:proofErr w:type="spellEnd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>времену</w:t>
            </w:r>
            <w:proofErr w:type="spellEnd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>великој</w:t>
            </w:r>
            <w:proofErr w:type="spellEnd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>мери</w:t>
            </w:r>
            <w:proofErr w:type="spellEnd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>зависе</w:t>
            </w:r>
            <w:proofErr w:type="spellEnd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>поуздане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анализе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>прикупљених</w:t>
            </w:r>
            <w:proofErr w:type="spellEnd"/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>употребом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специфичн</w:t>
            </w:r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>их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статистичк</w:t>
            </w:r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>их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метод</w:t>
            </w:r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>,</w:t>
            </w:r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техник</w:t>
            </w:r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интелигентн</w:t>
            </w:r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>у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оптимизациј</w:t>
            </w:r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>у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који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су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значајно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променили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начин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пословања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савременог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предузећа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Овај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курс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фокусира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представљањ</w:t>
            </w:r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>у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кључних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концепата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интернет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пословања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једног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главних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стубова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модерн</w:t>
            </w:r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>е</w:t>
            </w:r>
            <w:proofErr w:type="spellEnd"/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>економије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Посебна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пажња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биће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посвећена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>веб</w:t>
            </w:r>
            <w:proofErr w:type="spellEnd"/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>аналитици</w:t>
            </w:r>
            <w:proofErr w:type="spellEnd"/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правилној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анализи</w:t>
            </w:r>
            <w:proofErr w:type="spellEnd"/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>обради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резултата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дигиталног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маркетинга</w:t>
            </w:r>
            <w:proofErr w:type="spellEnd"/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9A6A8E" w:rsidRPr="009A6A8E" w:rsidRDefault="00BD737B" w:rsidP="00BD737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>Студенти</w:t>
            </w:r>
            <w:proofErr w:type="spellEnd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>ће</w:t>
            </w:r>
            <w:proofErr w:type="spellEnd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>моћи</w:t>
            </w:r>
            <w:proofErr w:type="spellEnd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изврше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независну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анализу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веб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креирају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закључке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пословне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одлуке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односе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потенцијална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побољшања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продаји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асортиману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производа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односима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купцима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дигиталним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маркетиншким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стратегијама</w:t>
            </w:r>
            <w:proofErr w:type="spellEnd"/>
            <w:r w:rsidR="009A6A8E">
              <w:rPr>
                <w:rStyle w:val="tlid-translation"/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4A2BB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:rsidR="005A27EC" w:rsidRDefault="005A27EC" w:rsidP="00B553F5">
            <w:pPr>
              <w:spacing w:after="120"/>
              <w:jc w:val="both"/>
              <w:rPr>
                <w:rStyle w:val="tlid-translation"/>
                <w:rFonts w:ascii="Times New Roman" w:hAnsi="Times New Roman"/>
                <w:sz w:val="20"/>
                <w:szCs w:val="20"/>
              </w:rPr>
            </w:pP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Курс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ће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обухватити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основне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типове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концепте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r w:rsidR="001B17B6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="001B17B6">
              <w:rPr>
                <w:rStyle w:val="tlid-translation"/>
                <w:rFonts w:ascii="Times New Roman" w:hAnsi="Times New Roman"/>
                <w:sz w:val="20"/>
                <w:szCs w:val="20"/>
              </w:rPr>
              <w:t>оквиру</w:t>
            </w:r>
            <w:proofErr w:type="spellEnd"/>
            <w:r w:rsidR="001B17B6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домена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аналитике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веб</w:t>
            </w:r>
            <w:proofErr w:type="spellEnd"/>
            <w:r w:rsidR="001B17B6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B17B6">
              <w:rPr>
                <w:rStyle w:val="tlid-translation"/>
                <w:rFonts w:ascii="Times New Roman" w:hAnsi="Times New Roman"/>
                <w:sz w:val="20"/>
                <w:szCs w:val="20"/>
              </w:rPr>
              <w:t>аналитике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1B17B6">
              <w:rPr>
                <w:rStyle w:val="tlid-translation"/>
                <w:rFonts w:ascii="Times New Roman" w:hAnsi="Times New Roman"/>
                <w:sz w:val="20"/>
                <w:szCs w:val="20"/>
              </w:rPr>
              <w:t>аналитике</w:t>
            </w:r>
            <w:proofErr w:type="spellEnd"/>
            <w:r w:rsidR="001B17B6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B17B6">
              <w:rPr>
                <w:rStyle w:val="tlid-translation"/>
                <w:rFonts w:ascii="Times New Roman" w:hAnsi="Times New Roman"/>
                <w:sz w:val="20"/>
                <w:szCs w:val="20"/>
              </w:rPr>
              <w:t>интернет</w:t>
            </w:r>
            <w:proofErr w:type="spellEnd"/>
            <w:r w:rsidR="001B17B6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пословањ</w:t>
            </w:r>
            <w:r w:rsidR="001B17B6">
              <w:rPr>
                <w:rStyle w:val="tlid-translation"/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и</w:t>
            </w:r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аналитик</w:t>
            </w:r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>е</w:t>
            </w:r>
            <w:proofErr w:type="spellEnd"/>
            <w:proofErr w:type="gramEnd"/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>дигиталног</w:t>
            </w:r>
            <w:proofErr w:type="spellEnd"/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>маркетинга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Неке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специфичних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тема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ће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бити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обухваћене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током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курса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су</w:t>
            </w:r>
            <w:proofErr w:type="spellEnd"/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>:</w:t>
            </w:r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велик</w:t>
            </w:r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>е</w:t>
            </w:r>
            <w:proofErr w:type="spellEnd"/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>базе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пода</w:t>
            </w:r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>така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вероватноћа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статистика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аналитика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друштвених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медија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метрик</w:t>
            </w:r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>е</w:t>
            </w:r>
            <w:proofErr w:type="spellEnd"/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>дигиталном</w:t>
            </w:r>
            <w:proofErr w:type="spellEnd"/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>маркетингу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оптимизација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претраживача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веб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>,</w:t>
            </w:r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прикупљање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веб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предиктивна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текстуална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генерисање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и </w:t>
            </w:r>
            <w:proofErr w:type="spellStart"/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>писање</w:t>
            </w:r>
            <w:proofErr w:type="spellEnd"/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>ефективних</w:t>
            </w:r>
            <w:proofErr w:type="spellEnd"/>
            <w:r w:rsidR="006D28A9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извештаја</w:t>
            </w:r>
            <w:proofErr w:type="spellEnd"/>
            <w:r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E345C0" w:rsidRPr="00E345C0" w:rsidRDefault="006D28A9" w:rsidP="00B553F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Вежбе на рачунарима одвијаће се </w:t>
            </w:r>
            <w:r w:rsidRPr="00735FE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у 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програмском језику </w:t>
            </w:r>
            <w:r w:rsidRPr="00735FE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Python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и софтверским пакетима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Microsoft Excel и Tableau,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где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ће</w:t>
            </w:r>
            <w:proofErr w:type="spellEnd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>студенти</w:t>
            </w:r>
            <w:proofErr w:type="spellEnd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>бити</w:t>
            </w:r>
            <w:proofErr w:type="spellEnd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>обучени</w:t>
            </w:r>
            <w:proofErr w:type="spellEnd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ефикасн</w:t>
            </w:r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>у</w:t>
            </w:r>
            <w:proofErr w:type="spellEnd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>обраду</w:t>
            </w:r>
            <w:proofErr w:type="spellEnd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  <w:r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презент</w:t>
            </w:r>
            <w:r w:rsidR="00E345C0">
              <w:rPr>
                <w:rStyle w:val="tlid-translation"/>
                <w:rFonts w:ascii="Times New Roman" w:hAnsi="Times New Roman"/>
                <w:sz w:val="20"/>
                <w:szCs w:val="20"/>
              </w:rPr>
              <w:t>овање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45C0">
              <w:rPr>
                <w:rStyle w:val="tlid-translation"/>
                <w:rFonts w:ascii="Times New Roman" w:hAnsi="Times New Roman"/>
                <w:sz w:val="20"/>
                <w:szCs w:val="20"/>
              </w:rPr>
              <w:t>добијених</w:t>
            </w:r>
            <w:proofErr w:type="spellEnd"/>
            <w:r w:rsidR="00E345C0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45C0">
              <w:rPr>
                <w:rStyle w:val="tlid-translation"/>
                <w:rFonts w:ascii="Times New Roman" w:hAnsi="Times New Roman"/>
                <w:sz w:val="20"/>
                <w:szCs w:val="20"/>
              </w:rPr>
              <w:t>резултата</w:t>
            </w:r>
            <w:proofErr w:type="spellEnd"/>
            <w:r w:rsidR="00E345C0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коришћењем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савремених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аналитичких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алата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Поред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тога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студенти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ће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бити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обучени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45C0">
              <w:rPr>
                <w:rStyle w:val="tlid-translation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="00E345C0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45C0">
              <w:rPr>
                <w:rStyle w:val="tlid-translation"/>
                <w:rFonts w:ascii="Times New Roman" w:hAnsi="Times New Roman"/>
                <w:sz w:val="20"/>
                <w:szCs w:val="20"/>
              </w:rPr>
              <w:t>реалним</w:t>
            </w:r>
            <w:proofErr w:type="spellEnd"/>
            <w:r w:rsidR="00E345C0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45C0">
              <w:rPr>
                <w:rStyle w:val="tlid-translation"/>
                <w:rFonts w:ascii="Times New Roman" w:hAnsi="Times New Roman"/>
                <w:sz w:val="20"/>
                <w:szCs w:val="20"/>
              </w:rPr>
              <w:t>примерима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домена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економије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што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су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плаћено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оглашавање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тестирање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ефикасности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огласа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, А / Б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тестирање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аналитика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веб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локација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маркетинг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друштвеним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медијима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прикупљање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друштвеним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медијима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E345C0">
              <w:rPr>
                <w:rStyle w:val="tlid-translation"/>
                <w:rFonts w:ascii="Times New Roman" w:hAnsi="Times New Roman"/>
                <w:sz w:val="20"/>
                <w:szCs w:val="20"/>
              </w:rPr>
              <w:t>мониторинг</w:t>
            </w:r>
            <w:proofErr w:type="spellEnd"/>
            <w:r w:rsidR="00E345C0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45C0">
              <w:rPr>
                <w:rStyle w:val="tlid-translation"/>
                <w:rFonts w:ascii="Times New Roman" w:hAnsi="Times New Roman"/>
                <w:sz w:val="20"/>
                <w:szCs w:val="20"/>
              </w:rPr>
              <w:t>друштвених</w:t>
            </w:r>
            <w:proofErr w:type="spellEnd"/>
            <w:r w:rsidR="00E345C0">
              <w:rPr>
                <w:rStyle w:val="tlid-translation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45C0">
              <w:rPr>
                <w:rStyle w:val="tlid-translation"/>
                <w:rFonts w:ascii="Times New Roman" w:hAnsi="Times New Roman"/>
                <w:sz w:val="20"/>
                <w:szCs w:val="20"/>
              </w:rPr>
              <w:t>мрежа</w:t>
            </w:r>
            <w:proofErr w:type="spellEnd"/>
            <w:r w:rsidR="005A27EC" w:rsidRPr="005A27EC">
              <w:rPr>
                <w:rStyle w:val="tlid-translation"/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076764" w:rsidRPr="00956D70" w:rsidRDefault="002C6B9C" w:rsidP="000767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Литература</w:t>
            </w:r>
            <w:proofErr w:type="spellEnd"/>
            <w:r w:rsidR="00076764" w:rsidRPr="00956D7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076764" w:rsidRPr="00D17FFB" w:rsidRDefault="00076764" w:rsidP="00B553F5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after="60"/>
              <w:ind w:left="426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Himanshu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Sharma (2015), Maths and Stats for Web Analytics and Conversion, Blurb, ISBN 1364849186</w:t>
            </w:r>
          </w:p>
          <w:p w:rsidR="00076764" w:rsidRPr="002A6B55" w:rsidRDefault="00076764" w:rsidP="00B553F5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after="60"/>
              <w:ind w:left="426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Eric Siegel (2016), Predictive Analytics: The Power to Predict who Will Click, Buy, Lie, or Die, Wiley, ISBN 9781119145677</w:t>
            </w:r>
          </w:p>
          <w:p w:rsidR="004A2BB3" w:rsidRPr="00735FE2" w:rsidRDefault="00076764" w:rsidP="00B553F5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after="60"/>
              <w:ind w:left="426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2A6B55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Jeff Larson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Stuart Draper (2017), Digital Marketing Essentials: A comprehensive Digital Marketing Textbook,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Stukent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, ISBN 0998713813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11131F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2884" w:type="dxa"/>
            <w:gridSpan w:val="2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5643A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8669FB">
              <w:rPr>
                <w:rFonts w:ascii="Times New Roman" w:hAnsi="Times New Roman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3292" w:type="dxa"/>
            <w:gridSpan w:val="2"/>
            <w:vAlign w:val="center"/>
          </w:tcPr>
          <w:p w:rsidR="004A2BB3" w:rsidRPr="00D828FC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5643A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D828FC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4A2BB3" w:rsidRPr="00092214" w:rsidRDefault="00076764" w:rsidP="008669F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17332">
              <w:rPr>
                <w:rStyle w:val="tlid-translation"/>
                <w:rFonts w:ascii="Times New Roman" w:hAnsi="Times New Roman"/>
              </w:rPr>
              <w:t>Презентациј</w:t>
            </w:r>
            <w:r>
              <w:rPr>
                <w:rStyle w:val="tlid-translation"/>
                <w:rFonts w:ascii="Times New Roman" w:hAnsi="Times New Roman"/>
              </w:rPr>
              <w:t>а</w:t>
            </w:r>
            <w:proofErr w:type="spellEnd"/>
            <w:r w:rsidRPr="00117332">
              <w:rPr>
                <w:rStyle w:val="tlid-translation"/>
                <w:rFonts w:ascii="Times New Roman" w:hAnsi="Times New Roman"/>
              </w:rPr>
              <w:t xml:space="preserve">, </w:t>
            </w:r>
            <w:proofErr w:type="spellStart"/>
            <w:r w:rsidRPr="00117332">
              <w:rPr>
                <w:rStyle w:val="tlid-translation"/>
                <w:rFonts w:ascii="Times New Roman" w:hAnsi="Times New Roman"/>
              </w:rPr>
              <w:t>дијалог</w:t>
            </w:r>
            <w:proofErr w:type="spellEnd"/>
            <w:r w:rsidRPr="00117332">
              <w:rPr>
                <w:rStyle w:val="tlid-translation"/>
                <w:rFonts w:ascii="Times New Roman" w:hAnsi="Times New Roman"/>
              </w:rPr>
              <w:t xml:space="preserve">, </w:t>
            </w:r>
            <w:proofErr w:type="spellStart"/>
            <w:r w:rsidRPr="00117332">
              <w:rPr>
                <w:rStyle w:val="tlid-translation"/>
                <w:rFonts w:ascii="Times New Roman" w:hAnsi="Times New Roman"/>
              </w:rPr>
              <w:t>графи</w:t>
            </w:r>
            <w:r>
              <w:rPr>
                <w:rStyle w:val="tlid-translation"/>
                <w:rFonts w:ascii="Times New Roman" w:hAnsi="Times New Roman"/>
              </w:rPr>
              <w:t>чки</w:t>
            </w:r>
            <w:proofErr w:type="spellEnd"/>
            <w:r>
              <w:rPr>
                <w:rStyle w:val="tlid-translation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tlid-translation"/>
                <w:rFonts w:ascii="Times New Roman" w:hAnsi="Times New Roman"/>
              </w:rPr>
              <w:t>прикази</w:t>
            </w:r>
            <w:proofErr w:type="spellEnd"/>
            <w:r w:rsidRPr="00117332">
              <w:rPr>
                <w:rStyle w:val="tlid-translation"/>
                <w:rFonts w:ascii="Times New Roman" w:hAnsi="Times New Roman"/>
              </w:rPr>
              <w:t xml:space="preserve">, </w:t>
            </w:r>
            <w:proofErr w:type="spellStart"/>
            <w:r w:rsidRPr="00117332">
              <w:rPr>
                <w:rStyle w:val="tlid-translation"/>
                <w:rFonts w:ascii="Times New Roman" w:hAnsi="Times New Roman"/>
              </w:rPr>
              <w:t>демонстрација</w:t>
            </w:r>
            <w:proofErr w:type="spellEnd"/>
            <w:r w:rsidRPr="00117332">
              <w:rPr>
                <w:rStyle w:val="tlid-translation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tlid-translation"/>
                <w:rFonts w:ascii="Times New Roman" w:hAnsi="Times New Roman"/>
              </w:rPr>
              <w:t>програмирања</w:t>
            </w:r>
            <w:proofErr w:type="spellEnd"/>
            <w:r>
              <w:rPr>
                <w:rStyle w:val="tlid-translation"/>
                <w:rFonts w:ascii="Times New Roman" w:hAnsi="Times New Roman"/>
              </w:rPr>
              <w:t xml:space="preserve"> у </w:t>
            </w:r>
            <w:proofErr w:type="spellStart"/>
            <w:r w:rsidRPr="00117332">
              <w:rPr>
                <w:rStyle w:val="tlid-translation"/>
                <w:rFonts w:ascii="Times New Roman" w:hAnsi="Times New Roman"/>
              </w:rPr>
              <w:t>програмско</w:t>
            </w:r>
            <w:r>
              <w:rPr>
                <w:rStyle w:val="tlid-translation"/>
                <w:rFonts w:ascii="Times New Roman" w:hAnsi="Times New Roman"/>
              </w:rPr>
              <w:t>м</w:t>
            </w:r>
            <w:proofErr w:type="spellEnd"/>
            <w:r w:rsidRPr="00117332">
              <w:rPr>
                <w:rStyle w:val="tlid-translation"/>
                <w:rFonts w:ascii="Times New Roman" w:hAnsi="Times New Roman"/>
              </w:rPr>
              <w:t xml:space="preserve"> </w:t>
            </w:r>
            <w:proofErr w:type="spellStart"/>
            <w:r w:rsidRPr="00117332">
              <w:rPr>
                <w:rStyle w:val="tlid-translation"/>
                <w:rFonts w:ascii="Times New Roman" w:hAnsi="Times New Roman"/>
              </w:rPr>
              <w:t>језик</w:t>
            </w:r>
            <w:r>
              <w:rPr>
                <w:rStyle w:val="tlid-translation"/>
                <w:rFonts w:ascii="Times New Roman" w:hAnsi="Times New Roman"/>
              </w:rPr>
              <w:t>у</w:t>
            </w:r>
            <w:proofErr w:type="spellEnd"/>
            <w:r w:rsidRPr="00117332">
              <w:rPr>
                <w:rStyle w:val="tlid-translation"/>
                <w:rFonts w:ascii="Times New Roman" w:hAnsi="Times New Roman"/>
              </w:rPr>
              <w:t xml:space="preserve">, </w:t>
            </w:r>
            <w:proofErr w:type="spellStart"/>
            <w:r>
              <w:rPr>
                <w:rStyle w:val="tlid-translation"/>
                <w:rFonts w:ascii="Times New Roman" w:hAnsi="Times New Roman"/>
              </w:rPr>
              <w:t>демонстрација</w:t>
            </w:r>
            <w:proofErr w:type="spellEnd"/>
            <w:r>
              <w:rPr>
                <w:rStyle w:val="tlid-translation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tlid-translation"/>
                <w:rFonts w:ascii="Times New Roman" w:hAnsi="Times New Roman"/>
              </w:rPr>
              <w:t>рада</w:t>
            </w:r>
            <w:proofErr w:type="spellEnd"/>
            <w:r>
              <w:rPr>
                <w:rStyle w:val="tlid-translation"/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Style w:val="tlid-translation"/>
                <w:rFonts w:ascii="Times New Roman" w:hAnsi="Times New Roman"/>
              </w:rPr>
              <w:t>софтверским</w:t>
            </w:r>
            <w:proofErr w:type="spellEnd"/>
            <w:r>
              <w:rPr>
                <w:rStyle w:val="tlid-translation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tlid-translation"/>
                <w:rFonts w:ascii="Times New Roman" w:hAnsi="Times New Roman"/>
              </w:rPr>
              <w:t>пакетима</w:t>
            </w:r>
            <w:proofErr w:type="spellEnd"/>
            <w:r>
              <w:rPr>
                <w:rStyle w:val="tlid-translation"/>
                <w:rFonts w:ascii="Times New Roman" w:hAnsi="Times New Roman"/>
              </w:rPr>
              <w:t xml:space="preserve">, </w:t>
            </w:r>
            <w:proofErr w:type="spellStart"/>
            <w:r w:rsidRPr="00117332">
              <w:rPr>
                <w:rStyle w:val="tlid-translation"/>
                <w:rFonts w:ascii="Times New Roman" w:hAnsi="Times New Roman"/>
              </w:rPr>
              <w:t>индивидуални</w:t>
            </w:r>
            <w:proofErr w:type="spellEnd"/>
            <w:r w:rsidRPr="00117332">
              <w:rPr>
                <w:rStyle w:val="tlid-translation"/>
                <w:rFonts w:ascii="Times New Roman" w:hAnsi="Times New Roman"/>
              </w:rPr>
              <w:t xml:space="preserve"> </w:t>
            </w:r>
            <w:proofErr w:type="spellStart"/>
            <w:r w:rsidRPr="00117332">
              <w:rPr>
                <w:rStyle w:val="tlid-translation"/>
                <w:rFonts w:ascii="Times New Roman" w:hAnsi="Times New Roman"/>
              </w:rPr>
              <w:t>рад</w:t>
            </w:r>
            <w:proofErr w:type="spellEnd"/>
            <w:r w:rsidRPr="00117332">
              <w:rPr>
                <w:rStyle w:val="tlid-translation"/>
                <w:rFonts w:ascii="Times New Roman" w:hAnsi="Times New Roman"/>
              </w:rPr>
              <w:t>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709" w:type="dxa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ктивност у току предавања</w:t>
            </w:r>
          </w:p>
        </w:tc>
        <w:tc>
          <w:tcPr>
            <w:tcW w:w="1709" w:type="dxa"/>
            <w:vAlign w:val="center"/>
          </w:tcPr>
          <w:p w:rsidR="004A2BB3" w:rsidRPr="00B8352A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5643AD" w:rsidRDefault="00735FE2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25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рактична настава</w:t>
            </w:r>
          </w:p>
        </w:tc>
        <w:tc>
          <w:tcPr>
            <w:tcW w:w="1709" w:type="dxa"/>
            <w:vAlign w:val="center"/>
          </w:tcPr>
          <w:p w:rsidR="004A2BB3" w:rsidRPr="00B8352A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смени исп</w:t>
            </w:r>
            <w:r w:rsidR="005643AD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5643AD" w:rsidRDefault="00076764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25</w:t>
            </w:r>
          </w:p>
        </w:tc>
      </w:tr>
      <w:tr w:rsidR="007C5808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7C5808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</w:t>
            </w:r>
            <w:r w:rsidR="007C5808">
              <w:rPr>
                <w:rFonts w:ascii="Times New Roman" w:hAnsi="Times New Roman"/>
                <w:sz w:val="20"/>
                <w:szCs w:val="20"/>
                <w:lang w:val="sr-Cyrl-CS"/>
              </w:rPr>
              <w:t>олоквијум-и</w:t>
            </w:r>
          </w:p>
        </w:tc>
        <w:tc>
          <w:tcPr>
            <w:tcW w:w="1709" w:type="dxa"/>
            <w:vAlign w:val="center"/>
          </w:tcPr>
          <w:p w:rsidR="007C5808" w:rsidRDefault="00076764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7C5808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Презентација пројекта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7C5808" w:rsidRDefault="007C5808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</w:p>
        </w:tc>
      </w:tr>
      <w:tr w:rsidR="000B692E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0B692E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Студије случаја</w:t>
            </w:r>
          </w:p>
        </w:tc>
        <w:tc>
          <w:tcPr>
            <w:tcW w:w="1709" w:type="dxa"/>
            <w:vAlign w:val="center"/>
          </w:tcPr>
          <w:p w:rsidR="000B692E" w:rsidRDefault="00076764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0B692E" w:rsidRPr="00705991" w:rsidRDefault="00735FE2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0599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0B692E" w:rsidRPr="00735FE2" w:rsidRDefault="00735FE2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735FE2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100</w:t>
            </w:r>
          </w:p>
        </w:tc>
      </w:tr>
    </w:tbl>
    <w:p w:rsidR="004A2BB3" w:rsidRPr="005643AD" w:rsidRDefault="004A2BB3" w:rsidP="005643AD">
      <w:pPr>
        <w:jc w:val="both"/>
        <w:rPr>
          <w:rFonts w:ascii="Times New Roman" w:hAnsi="Times New Roman"/>
          <w:bCs/>
          <w:sz w:val="20"/>
          <w:szCs w:val="20"/>
          <w:lang w:val="sr-Cyrl-CS"/>
        </w:rPr>
      </w:pPr>
    </w:p>
    <w:p w:rsidR="004A2BB3" w:rsidRPr="005643AD" w:rsidRDefault="004A2BB3" w:rsidP="005643AD">
      <w:pPr>
        <w:jc w:val="both"/>
        <w:rPr>
          <w:rFonts w:ascii="Times New Roman" w:hAnsi="Times New Roman"/>
          <w:sz w:val="20"/>
          <w:szCs w:val="20"/>
          <w:lang w:val="sr-Cyrl-CS"/>
        </w:rPr>
      </w:pPr>
    </w:p>
    <w:sectPr w:rsidR="004A2BB3" w:rsidRPr="005643AD" w:rsidSect="004A2BB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75B1B"/>
    <w:multiLevelType w:val="hybridMultilevel"/>
    <w:tmpl w:val="8F44A1C6"/>
    <w:lvl w:ilvl="0" w:tplc="B4A822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1A0019">
      <w:start w:val="1"/>
      <w:numFmt w:val="lowerLetter"/>
      <w:lvlText w:val="%2."/>
      <w:lvlJc w:val="left"/>
      <w:pPr>
        <w:ind w:left="1440" w:hanging="360"/>
      </w:pPr>
    </w:lvl>
    <w:lvl w:ilvl="2" w:tplc="0C1A001B">
      <w:start w:val="1"/>
      <w:numFmt w:val="lowerRoman"/>
      <w:lvlText w:val="%3."/>
      <w:lvlJc w:val="right"/>
      <w:pPr>
        <w:ind w:left="2160" w:hanging="180"/>
      </w:pPr>
    </w:lvl>
    <w:lvl w:ilvl="3" w:tplc="0C1A000F">
      <w:start w:val="1"/>
      <w:numFmt w:val="decimal"/>
      <w:lvlText w:val="%4."/>
      <w:lvlJc w:val="left"/>
      <w:pPr>
        <w:ind w:left="2880" w:hanging="360"/>
      </w:pPr>
    </w:lvl>
    <w:lvl w:ilvl="4" w:tplc="0C1A0019">
      <w:start w:val="1"/>
      <w:numFmt w:val="lowerLetter"/>
      <w:lvlText w:val="%5."/>
      <w:lvlJc w:val="left"/>
      <w:pPr>
        <w:ind w:left="3600" w:hanging="360"/>
      </w:pPr>
    </w:lvl>
    <w:lvl w:ilvl="5" w:tplc="0C1A001B">
      <w:start w:val="1"/>
      <w:numFmt w:val="lowerRoman"/>
      <w:lvlText w:val="%6."/>
      <w:lvlJc w:val="right"/>
      <w:pPr>
        <w:ind w:left="4320" w:hanging="180"/>
      </w:pPr>
    </w:lvl>
    <w:lvl w:ilvl="6" w:tplc="0C1A000F">
      <w:start w:val="1"/>
      <w:numFmt w:val="decimal"/>
      <w:lvlText w:val="%7."/>
      <w:lvlJc w:val="left"/>
      <w:pPr>
        <w:ind w:left="5040" w:hanging="360"/>
      </w:pPr>
    </w:lvl>
    <w:lvl w:ilvl="7" w:tplc="0C1A0019">
      <w:start w:val="1"/>
      <w:numFmt w:val="lowerLetter"/>
      <w:lvlText w:val="%8."/>
      <w:lvlJc w:val="left"/>
      <w:pPr>
        <w:ind w:left="5760" w:hanging="360"/>
      </w:pPr>
    </w:lvl>
    <w:lvl w:ilvl="8" w:tplc="0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stylePaneFormatFilter w:val="3F01"/>
  <w:defaultTabStop w:val="720"/>
  <w:hyphenationZone w:val="425"/>
  <w:characterSpacingControl w:val="doNotCompress"/>
  <w:compat/>
  <w:rsids>
    <w:rsidRoot w:val="004A2BB3"/>
    <w:rsid w:val="000677B6"/>
    <w:rsid w:val="00076764"/>
    <w:rsid w:val="000769C2"/>
    <w:rsid w:val="000B692E"/>
    <w:rsid w:val="0011131F"/>
    <w:rsid w:val="00114E63"/>
    <w:rsid w:val="001721E3"/>
    <w:rsid w:val="001B17B6"/>
    <w:rsid w:val="00261394"/>
    <w:rsid w:val="002C6B9C"/>
    <w:rsid w:val="00313E51"/>
    <w:rsid w:val="00322323"/>
    <w:rsid w:val="00443750"/>
    <w:rsid w:val="00485F1C"/>
    <w:rsid w:val="004A0112"/>
    <w:rsid w:val="004A2BB3"/>
    <w:rsid w:val="0050786F"/>
    <w:rsid w:val="00557C48"/>
    <w:rsid w:val="005643AD"/>
    <w:rsid w:val="005A27EC"/>
    <w:rsid w:val="005C2D26"/>
    <w:rsid w:val="00652B77"/>
    <w:rsid w:val="00661BE7"/>
    <w:rsid w:val="00682F7A"/>
    <w:rsid w:val="00696E84"/>
    <w:rsid w:val="006D28A9"/>
    <w:rsid w:val="006E6796"/>
    <w:rsid w:val="00705991"/>
    <w:rsid w:val="00735FE2"/>
    <w:rsid w:val="007C5808"/>
    <w:rsid w:val="0082537B"/>
    <w:rsid w:val="008669FB"/>
    <w:rsid w:val="008C5992"/>
    <w:rsid w:val="00933E99"/>
    <w:rsid w:val="00936810"/>
    <w:rsid w:val="009A6A8E"/>
    <w:rsid w:val="00A1604A"/>
    <w:rsid w:val="00AC7231"/>
    <w:rsid w:val="00AF29B5"/>
    <w:rsid w:val="00B1369E"/>
    <w:rsid w:val="00B27767"/>
    <w:rsid w:val="00B553F5"/>
    <w:rsid w:val="00B83063"/>
    <w:rsid w:val="00B8352A"/>
    <w:rsid w:val="00BD737B"/>
    <w:rsid w:val="00C475CF"/>
    <w:rsid w:val="00C5227C"/>
    <w:rsid w:val="00CF6EAE"/>
    <w:rsid w:val="00D0364F"/>
    <w:rsid w:val="00D12DDD"/>
    <w:rsid w:val="00D33015"/>
    <w:rsid w:val="00D828FC"/>
    <w:rsid w:val="00D85ADD"/>
    <w:rsid w:val="00E345C0"/>
    <w:rsid w:val="00E83402"/>
    <w:rsid w:val="00EA2037"/>
    <w:rsid w:val="00EB18FE"/>
    <w:rsid w:val="00EB717C"/>
    <w:rsid w:val="00F40159"/>
    <w:rsid w:val="00F41B4C"/>
    <w:rsid w:val="00F46BD1"/>
    <w:rsid w:val="00F47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2BB3"/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5FE2"/>
    <w:pPr>
      <w:ind w:left="720"/>
      <w:contextualSpacing/>
    </w:pPr>
    <w:rPr>
      <w:lang w:val="sr-Cyrl-CS"/>
    </w:rPr>
  </w:style>
  <w:style w:type="character" w:customStyle="1" w:styleId="tlid-translation">
    <w:name w:val="tlid-translation"/>
    <w:basedOn w:val="DefaultParagraphFont"/>
    <w:rsid w:val="000677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7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0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>Grizli777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creator>Korisnik</dc:creator>
  <cp:lastModifiedBy>Zarko</cp:lastModifiedBy>
  <cp:revision>9</cp:revision>
  <cp:lastPrinted>2022-06-27T12:35:00Z</cp:lastPrinted>
  <dcterms:created xsi:type="dcterms:W3CDTF">2022-02-09T17:46:00Z</dcterms:created>
  <dcterms:modified xsi:type="dcterms:W3CDTF">2022-07-05T10:06:00Z</dcterms:modified>
</cp:coreProperties>
</file>